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52589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Shrnutí prezentací zástupců poskytovatelů a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VaVpI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center financovaných z NPÚ II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C52589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233F5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52589" w:rsidRDefault="00C52589" w:rsidP="00C52589">
            <w:pP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 xml:space="preserve">Ing. Ilona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Müllerová,DrSc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 xml:space="preserve"> </w:t>
            </w:r>
          </w:p>
          <w:p w:rsidR="008F77F6" w:rsidRPr="00811A10" w:rsidRDefault="00C52589" w:rsidP="00C5258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 xml:space="preserve">Ing. Eduard </w:t>
            </w:r>
            <w:proofErr w:type="spellStart"/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Palíšek</w:t>
            </w:r>
            <w:proofErr w:type="spellEnd"/>
            <w:r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, PhD., MBA</w:t>
            </w:r>
          </w:p>
        </w:tc>
      </w:tr>
      <w:tr w:rsidR="00C52589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C52589" w:rsidRPr="008F77F6" w:rsidRDefault="00C52589" w:rsidP="00C5258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52589" w:rsidRPr="003B2357" w:rsidRDefault="00C52589" w:rsidP="002B66C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3B2357">
              <w:rPr>
                <w:rFonts w:ascii="Arial" w:hAnsi="Arial" w:cs="Arial"/>
                <w:i/>
                <w:sz w:val="22"/>
                <w:szCs w:val="22"/>
              </w:rPr>
              <w:t>Odbor RVVI, 1</w:t>
            </w:r>
            <w:r w:rsidR="002B66C1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3B2357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Pr="003B2357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C52589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52589" w:rsidRPr="00AB734E" w:rsidRDefault="00C52589" w:rsidP="00C5258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52589" w:rsidRDefault="00C52589" w:rsidP="00C52589">
            <w:pPr>
              <w:pStyle w:val="Default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367. zasedání Rady pro výzkum, vývoj a inovace (dále jen „Rada“) dne 30. 4. 2021 bylo v rámci bodu A6) Prezentace centra CEITEC schváleno usnesení Rady, ve kterém bylo Odboru Rady a zpravodajům uloženo vyhodnotit prezentace center podporovaných z NPU II a předložit toto vyhodnocení na 371. zasedání Rady dne 1. října 2021.</w:t>
            </w:r>
          </w:p>
          <w:p w:rsidR="00C52589" w:rsidRDefault="00C52589" w:rsidP="00C52589">
            <w:pPr>
              <w:pStyle w:val="Default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 centra vznik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01F41">
              <w:rPr>
                <w:rFonts w:ascii="Arial" w:hAnsi="Arial" w:cs="Arial"/>
                <w:sz w:val="22"/>
                <w:szCs w:val="22"/>
              </w:rPr>
              <w:t xml:space="preserve">la od roku 2005 z projektů financovaných z Prioritní osy 1 a Prioritní osy 2 OP </w:t>
            </w: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. Většina </w:t>
            </w: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 center funguje jako samostatný útvar či organizační celek, který je součástí výzkumné organizace. Lze je financovat pomocí finančních nástrojů účelové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01F41">
              <w:rPr>
                <w:rFonts w:ascii="Arial" w:hAnsi="Arial" w:cs="Arial"/>
                <w:sz w:val="22"/>
                <w:szCs w:val="22"/>
              </w:rPr>
              <w:t>a institucionální podpory.</w:t>
            </w:r>
          </w:p>
          <w:p w:rsidR="00C52589" w:rsidRDefault="00C52589" w:rsidP="00C52589">
            <w:pPr>
              <w:pStyle w:val="Default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F41">
              <w:rPr>
                <w:rFonts w:ascii="Arial" w:hAnsi="Arial" w:cs="Arial"/>
                <w:sz w:val="22"/>
                <w:szCs w:val="22"/>
              </w:rPr>
              <w:t xml:space="preserve">Rozvoj center podpořených z </w:t>
            </w:r>
            <w:proofErr w:type="gramStart"/>
            <w:r w:rsidRPr="00A01F41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Pr="00A01F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 je po ukončení projektů programů NPU I a II postupně řešen v rámci dlouhodobého koncepčního rozvoje výzkumných organizací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A01F41">
              <w:rPr>
                <w:rFonts w:ascii="Arial" w:hAnsi="Arial" w:cs="Arial"/>
                <w:sz w:val="22"/>
                <w:szCs w:val="22"/>
              </w:rPr>
              <w:t xml:space="preserve">  Zajištění fungování </w:t>
            </w: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 center nadále zůstane v plné zodpovědnosti institucí, které daná </w:t>
            </w:r>
            <w:proofErr w:type="spellStart"/>
            <w:r w:rsidRPr="00A01F41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A01F41">
              <w:rPr>
                <w:rFonts w:ascii="Arial" w:hAnsi="Arial" w:cs="Arial"/>
                <w:sz w:val="22"/>
                <w:szCs w:val="22"/>
              </w:rPr>
              <w:t xml:space="preserve"> centra provozují, včetně zajištění všech jejich disponibilních zdrojů včetně DKRVO.</w:t>
            </w:r>
          </w:p>
          <w:p w:rsidR="00C23BB6" w:rsidRDefault="00C23BB6" w:rsidP="00C23BB6">
            <w:pPr>
              <w:pStyle w:val="Default"/>
              <w:spacing w:after="24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Na svém 360. zasedání dne 25. září 2020 uložila Rada </w:t>
            </w:r>
            <w:r w:rsidRPr="00390E2C">
              <w:rPr>
                <w:rFonts w:ascii="Arial" w:hAnsi="Arial" w:cs="Arial"/>
                <w:color w:val="auto"/>
                <w:sz w:val="22"/>
                <w:szCs w:val="22"/>
              </w:rPr>
              <w:t>Odboru Rady pro výzkum, vývoj a inova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ce přizvat zástupce </w:t>
            </w:r>
            <w:proofErr w:type="spellStart"/>
            <w:r w:rsidRPr="00390E2C"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 w:rsidRP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center na zasedání Rady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k prezentaci center dle schválené struktury</w:t>
            </w:r>
            <w:r w:rsidRPr="00390E2C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="00C52589" w:rsidRDefault="00C52589" w:rsidP="00C23BB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Své prezentace p</w:t>
            </w:r>
            <w:r w:rsidR="00C23BB6">
              <w:rPr>
                <w:rFonts w:ascii="Arial" w:hAnsi="Arial" w:cs="Arial"/>
                <w:sz w:val="22"/>
                <w:szCs w:val="22"/>
              </w:rPr>
              <w:t xml:space="preserve">ostupně zaslala všechna centra v těchto termínech: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265"/>
              <w:gridCol w:w="2035"/>
              <w:gridCol w:w="1719"/>
              <w:gridCol w:w="3797"/>
            </w:tblGrid>
            <w:tr w:rsidR="00C23BB6" w:rsidTr="002A472F">
              <w:tc>
                <w:tcPr>
                  <w:tcW w:w="1265" w:type="dxa"/>
                </w:tcPr>
                <w:p w:rsidR="00C23BB6" w:rsidRPr="008F13C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Zasedání </w:t>
                  </w:r>
                </w:p>
              </w:tc>
              <w:tc>
                <w:tcPr>
                  <w:tcW w:w="2035" w:type="dxa"/>
                </w:tcPr>
                <w:p w:rsidR="00C23BB6" w:rsidRPr="008F13C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Datum</w:t>
                  </w:r>
                </w:p>
              </w:tc>
              <w:tc>
                <w:tcPr>
                  <w:tcW w:w="1719" w:type="dxa"/>
                </w:tcPr>
                <w:p w:rsidR="00C23BB6" w:rsidRPr="008F13C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Poskytovatel</w:t>
                  </w:r>
                </w:p>
              </w:tc>
              <w:tc>
                <w:tcPr>
                  <w:tcW w:w="3797" w:type="dxa"/>
                </w:tcPr>
                <w:p w:rsidR="00C23BB6" w:rsidRPr="008F13C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proofErr w:type="spellStart"/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VaVpI</w:t>
                  </w:r>
                  <w:proofErr w:type="spellEnd"/>
                </w:p>
              </w:tc>
            </w:tr>
            <w:tr w:rsidR="00C23BB6" w:rsidTr="002A472F">
              <w:trPr>
                <w:trHeight w:val="352"/>
              </w:trPr>
              <w:tc>
                <w:tcPr>
                  <w:tcW w:w="126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361. </w:t>
                  </w:r>
                </w:p>
              </w:tc>
              <w:tc>
                <w:tcPr>
                  <w:tcW w:w="203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30. října 2020</w:t>
                  </w:r>
                </w:p>
              </w:tc>
              <w:tc>
                <w:tcPr>
                  <w:tcW w:w="1719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MPO</w:t>
                  </w:r>
                </w:p>
              </w:tc>
              <w:tc>
                <w:tcPr>
                  <w:tcW w:w="3797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SUSEN</w:t>
                  </w:r>
                </w:p>
              </w:tc>
            </w:tr>
            <w:tr w:rsidR="00C23BB6" w:rsidTr="002A472F">
              <w:tc>
                <w:tcPr>
                  <w:tcW w:w="126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363. </w:t>
                  </w:r>
                </w:p>
              </w:tc>
              <w:tc>
                <w:tcPr>
                  <w:tcW w:w="203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18. prosince 2020</w:t>
                  </w:r>
                </w:p>
              </w:tc>
              <w:tc>
                <w:tcPr>
                  <w:tcW w:w="1719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AV ČR</w:t>
                  </w:r>
                </w:p>
              </w:tc>
              <w:tc>
                <w:tcPr>
                  <w:tcW w:w="3797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ELI </w:t>
                  </w: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Beamlines</w:t>
                  </w:r>
                  <w:proofErr w:type="spellEnd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, BIOCEV</w:t>
                  </w:r>
                </w:p>
              </w:tc>
            </w:tr>
            <w:tr w:rsidR="00C23BB6" w:rsidTr="002A472F">
              <w:tc>
                <w:tcPr>
                  <w:tcW w:w="126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364.</w:t>
                  </w:r>
                </w:p>
              </w:tc>
              <w:tc>
                <w:tcPr>
                  <w:tcW w:w="203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29. ledna 2021</w:t>
                  </w:r>
                </w:p>
              </w:tc>
              <w:tc>
                <w:tcPr>
                  <w:tcW w:w="1719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MZd</w:t>
                  </w:r>
                  <w:proofErr w:type="spellEnd"/>
                </w:p>
              </w:tc>
              <w:tc>
                <w:tcPr>
                  <w:tcW w:w="3797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FNUSA – ICRC</w:t>
                  </w:r>
                </w:p>
              </w:tc>
            </w:tr>
            <w:tr w:rsidR="00C23BB6" w:rsidTr="002A472F">
              <w:tc>
                <w:tcPr>
                  <w:tcW w:w="126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365.</w:t>
                  </w:r>
                </w:p>
              </w:tc>
              <w:tc>
                <w:tcPr>
                  <w:tcW w:w="203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5. března 2021</w:t>
                  </w:r>
                </w:p>
              </w:tc>
              <w:tc>
                <w:tcPr>
                  <w:tcW w:w="1719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MŠMT</w:t>
                  </w:r>
                </w:p>
              </w:tc>
              <w:tc>
                <w:tcPr>
                  <w:tcW w:w="3797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IT4I</w:t>
                  </w:r>
                </w:p>
              </w:tc>
            </w:tr>
            <w:tr w:rsidR="00C23BB6" w:rsidTr="002A472F">
              <w:tc>
                <w:tcPr>
                  <w:tcW w:w="126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367.</w:t>
                  </w:r>
                </w:p>
              </w:tc>
              <w:tc>
                <w:tcPr>
                  <w:tcW w:w="2035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30. dubna 2021</w:t>
                  </w:r>
                </w:p>
              </w:tc>
              <w:tc>
                <w:tcPr>
                  <w:tcW w:w="1719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MŠMT</w:t>
                  </w:r>
                </w:p>
              </w:tc>
              <w:tc>
                <w:tcPr>
                  <w:tcW w:w="3797" w:type="dxa"/>
                </w:tcPr>
                <w:p w:rsidR="00C23BB6" w:rsidRDefault="00C23BB6" w:rsidP="00C54566">
                  <w:pPr>
                    <w:pStyle w:val="Default"/>
                    <w:framePr w:hSpace="141" w:wrap="around" w:vAnchor="page" w:hAnchor="margin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CEITEC</w:t>
                  </w:r>
                </w:p>
              </w:tc>
            </w:tr>
          </w:tbl>
          <w:p w:rsidR="00C23BB6" w:rsidRDefault="00C23BB6" w:rsidP="00C23BB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23BB6" w:rsidRPr="00C23BB6" w:rsidRDefault="00C23BB6" w:rsidP="00C23BB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62C3">
              <w:rPr>
                <w:rFonts w:ascii="Arial" w:hAnsi="Arial" w:cs="Arial"/>
                <w:bCs/>
                <w:sz w:val="22"/>
                <w:szCs w:val="22"/>
              </w:rPr>
              <w:t xml:space="preserve">Po každé prezentaci následovala diskuse členů Rady a zástupců </w:t>
            </w:r>
            <w:proofErr w:type="spellStart"/>
            <w:r w:rsidRPr="009962C3">
              <w:rPr>
                <w:rFonts w:ascii="Arial" w:hAnsi="Arial" w:cs="Arial"/>
                <w:bCs/>
                <w:sz w:val="22"/>
                <w:szCs w:val="22"/>
              </w:rPr>
              <w:t>VaVpI</w:t>
            </w:r>
            <w:proofErr w:type="spellEnd"/>
            <w:r w:rsidRPr="009962C3">
              <w:rPr>
                <w:rFonts w:ascii="Arial" w:hAnsi="Arial" w:cs="Arial"/>
                <w:bCs/>
                <w:sz w:val="22"/>
                <w:szCs w:val="22"/>
              </w:rPr>
              <w:t xml:space="preserve"> center. Rada vzala jednotlivé prezentace na vědomí a ocenila způsob představení jednotlivých center</w:t>
            </w:r>
            <w:r w:rsidR="005A4FC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C52589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52589" w:rsidRPr="003975DB" w:rsidRDefault="00C52589" w:rsidP="00C52589">
            <w:pPr>
              <w:spacing w:before="120" w:after="12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52589" w:rsidRPr="00826B2F" w:rsidRDefault="00C52589" w:rsidP="00C52589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Vyhodnocení prezentace center podporovaných z NPU II</w:t>
            </w:r>
          </w:p>
        </w:tc>
      </w:tr>
    </w:tbl>
    <w:p w:rsidR="00F86D54" w:rsidRDefault="00C54566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450" w:rsidRDefault="00770450" w:rsidP="008F77F6">
      <w:r>
        <w:separator/>
      </w:r>
    </w:p>
  </w:endnote>
  <w:endnote w:type="continuationSeparator" w:id="0">
    <w:p w:rsidR="00770450" w:rsidRDefault="007704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450" w:rsidRDefault="00770450" w:rsidP="008F77F6">
      <w:r>
        <w:separator/>
      </w:r>
    </w:p>
  </w:footnote>
  <w:footnote w:type="continuationSeparator" w:id="0">
    <w:p w:rsidR="00770450" w:rsidRDefault="007704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1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185B"/>
    <w:rsid w:val="0026386E"/>
    <w:rsid w:val="002778BB"/>
    <w:rsid w:val="00291599"/>
    <w:rsid w:val="002917C8"/>
    <w:rsid w:val="002A18DA"/>
    <w:rsid w:val="002A6EF1"/>
    <w:rsid w:val="002A7323"/>
    <w:rsid w:val="002B66C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A4FCD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70450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1C99"/>
    <w:rsid w:val="009830E4"/>
    <w:rsid w:val="009870E8"/>
    <w:rsid w:val="0099074C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3BB6"/>
    <w:rsid w:val="00C341FB"/>
    <w:rsid w:val="00C52589"/>
    <w:rsid w:val="00C54566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48F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33F5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C5258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C23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C5258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C23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2021-09-17T07:06:00Z</cp:lastPrinted>
  <dcterms:created xsi:type="dcterms:W3CDTF">2021-09-17T07:57:00Z</dcterms:created>
  <dcterms:modified xsi:type="dcterms:W3CDTF">2021-10-05T06:44:00Z</dcterms:modified>
</cp:coreProperties>
</file>